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609F" w14:textId="4C7ABE50" w:rsidR="00527B56" w:rsidRPr="00527B56" w:rsidRDefault="00527B56" w:rsidP="00527B56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  <w:r w:rsidRPr="00527B56">
        <w:rPr>
          <w:rFonts w:ascii="Times New Roman" w:eastAsia="黑体" w:hAnsi="Times New Roman" w:cs="Times New Roman"/>
          <w:sz w:val="32"/>
          <w:szCs w:val="32"/>
        </w:rPr>
        <w:t>附件</w:t>
      </w:r>
      <w:r w:rsidRPr="00527B56">
        <w:rPr>
          <w:rFonts w:ascii="Times New Roman" w:eastAsia="黑体" w:hAnsi="Times New Roman" w:cs="Times New Roman"/>
          <w:sz w:val="32"/>
          <w:szCs w:val="32"/>
        </w:rPr>
        <w:t>1</w:t>
      </w:r>
    </w:p>
    <w:p w14:paraId="2EED8A3C" w14:textId="77777777" w:rsidR="00527B56" w:rsidRPr="00180002" w:rsidRDefault="00527B56" w:rsidP="00527B56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C1D42E3" w14:textId="399BF407" w:rsidR="00527B56" w:rsidRPr="00180002" w:rsidRDefault="00527B56" w:rsidP="00527B56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27B56">
        <w:rPr>
          <w:rFonts w:ascii="Times New Roman" w:eastAsia="方正小标宋_GBK" w:hAnsi="Times New Roman" w:cs="Times New Roman"/>
          <w:sz w:val="44"/>
          <w:szCs w:val="44"/>
        </w:rPr>
        <w:t>山东省普通高等学校本科教学工作</w:t>
      </w:r>
    </w:p>
    <w:p w14:paraId="784A8249" w14:textId="4269B3A3" w:rsidR="00527B56" w:rsidRPr="00527B56" w:rsidRDefault="00527B56" w:rsidP="00527B56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27B56">
        <w:rPr>
          <w:rFonts w:ascii="Times New Roman" w:eastAsia="方正小标宋_GBK" w:hAnsi="Times New Roman" w:cs="Times New Roman"/>
          <w:sz w:val="44"/>
          <w:szCs w:val="44"/>
        </w:rPr>
        <w:t>审核评估内容</w:t>
      </w:r>
    </w:p>
    <w:p w14:paraId="4D4E4B30" w14:textId="79D6E737" w:rsidR="00D001D6" w:rsidRPr="00180002" w:rsidRDefault="00D001D6" w:rsidP="00D001D6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446"/>
        <w:gridCol w:w="6450"/>
      </w:tblGrid>
      <w:tr w:rsidR="00527B56" w:rsidRPr="00527B56" w14:paraId="13800E48" w14:textId="77777777" w:rsidTr="00180002">
        <w:trPr>
          <w:tblHeader/>
          <w:jc w:val="center"/>
        </w:trPr>
        <w:tc>
          <w:tcPr>
            <w:tcW w:w="1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5BBC" w14:textId="4EC43A6F" w:rsidR="00527B56" w:rsidRPr="00527B56" w:rsidRDefault="00527B56" w:rsidP="00527B5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黑体" w:hAnsi="Times New Roman" w:cs="Times New Roman"/>
                <w:sz w:val="24"/>
                <w:szCs w:val="24"/>
              </w:rPr>
              <w:t>审核项目</w:t>
            </w:r>
          </w:p>
          <w:p w14:paraId="2BD1180F" w14:textId="01D7B3B0" w:rsidR="00527B56" w:rsidRPr="00527B56" w:rsidRDefault="00527B56" w:rsidP="00527B5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1E17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黑体" w:hAnsi="Times New Roman" w:cs="Times New Roman"/>
                <w:sz w:val="24"/>
                <w:szCs w:val="24"/>
              </w:rPr>
              <w:t>审核要素</w:t>
            </w:r>
          </w:p>
          <w:p w14:paraId="1A3F3532" w14:textId="04C29941" w:rsidR="00527B56" w:rsidRPr="00527B56" w:rsidRDefault="00527B56" w:rsidP="00527B5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6BC2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黑体" w:hAnsi="Times New Roman" w:cs="Times New Roman"/>
                <w:sz w:val="24"/>
                <w:szCs w:val="24"/>
              </w:rPr>
              <w:t>审核要点</w:t>
            </w:r>
          </w:p>
          <w:p w14:paraId="73C2CEAF" w14:textId="54D95C3E" w:rsidR="00527B56" w:rsidRPr="00527B56" w:rsidRDefault="00527B56" w:rsidP="00527B5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716CB160" w14:textId="77777777" w:rsidTr="00180002">
        <w:trPr>
          <w:jc w:val="center"/>
        </w:trPr>
        <w:tc>
          <w:tcPr>
            <w:tcW w:w="12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BDFD" w14:textId="20082156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定位与目标</w:t>
            </w:r>
          </w:p>
          <w:p w14:paraId="1566517A" w14:textId="5E681253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1F6C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1.1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办学定位</w:t>
            </w:r>
          </w:p>
          <w:p w14:paraId="37E1518B" w14:textId="17A0044B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480D0" w14:textId="0C1CE0AF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学校办学方向、办学定位及确定依据</w:t>
            </w:r>
          </w:p>
          <w:p w14:paraId="1C9C7926" w14:textId="34E26C95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办学定位在学校发展规划中的体现</w:t>
            </w:r>
          </w:p>
          <w:p w14:paraId="39E06AC4" w14:textId="79ADDC58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2C7FE385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71DD9759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F09C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1.2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培养目标</w:t>
            </w:r>
          </w:p>
          <w:p w14:paraId="7F7732D6" w14:textId="616221C2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9900C" w14:textId="734C9F36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学校人才</w:t>
            </w:r>
            <w:proofErr w:type="gramStart"/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培养总</w:t>
            </w:r>
            <w:proofErr w:type="gramEnd"/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目标及确定依据</w:t>
            </w:r>
          </w:p>
          <w:p w14:paraId="48024F60" w14:textId="4B168FB1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专业培养目标、标准及确定依据</w:t>
            </w:r>
          </w:p>
          <w:p w14:paraId="1BABE514" w14:textId="6B170938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4544FE8C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41482215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2DB4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1.3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教学中心地位</w:t>
            </w:r>
          </w:p>
          <w:p w14:paraId="7C3C28B4" w14:textId="67E5665E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656A" w14:textId="20C65CC6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落实学校人才培养中心地位的政策与措施</w:t>
            </w:r>
          </w:p>
          <w:p w14:paraId="26DF076A" w14:textId="18B1DF03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教学中心地位的体现与效果</w:t>
            </w:r>
          </w:p>
          <w:p w14:paraId="1E1BDA1F" w14:textId="7A25E258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科学研究、社会服务、文化传承创新促进人才培养措施与成效</w:t>
            </w:r>
          </w:p>
          <w:p w14:paraId="5CBDED2F" w14:textId="519D6AC5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学校领导对本科教学的重视情况</w:t>
            </w:r>
          </w:p>
          <w:p w14:paraId="7D41180F" w14:textId="09F7492E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3CAC3E8D" w14:textId="77777777" w:rsidTr="00180002">
        <w:trPr>
          <w:jc w:val="center"/>
        </w:trPr>
        <w:tc>
          <w:tcPr>
            <w:tcW w:w="12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7C31" w14:textId="72F39C8F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师资队伍</w:t>
            </w:r>
          </w:p>
          <w:p w14:paraId="6D6939AB" w14:textId="55E81D09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1A82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2.1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数量与结构</w:t>
            </w:r>
          </w:p>
          <w:p w14:paraId="00C5D502" w14:textId="0286C0E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55E2" w14:textId="252D47B0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师资队伍的数量与结构</w:t>
            </w:r>
          </w:p>
          <w:p w14:paraId="2A17F180" w14:textId="5FF80D90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师资队伍建设规划及发展态势</w:t>
            </w:r>
          </w:p>
          <w:p w14:paraId="7398817B" w14:textId="183C9F80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18B1B349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36E86C3C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B4D4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2.2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教育教学水平</w:t>
            </w:r>
          </w:p>
          <w:p w14:paraId="18DD288C" w14:textId="1B59BA4C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C4892" w14:textId="40D979A0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专任教师的专业水平与教学能力</w:t>
            </w:r>
          </w:p>
          <w:p w14:paraId="366F4B3E" w14:textId="2EC2DFDC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学校师德师风建设措施与效果</w:t>
            </w:r>
          </w:p>
          <w:p w14:paraId="66A6665C" w14:textId="3D18E213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5E43453E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7437C584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7F62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2.3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教师教学投入</w:t>
            </w:r>
          </w:p>
          <w:p w14:paraId="0C8EB25D" w14:textId="36D80749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0BF5" w14:textId="3EA70C71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教授、副教授为本科生上课情况</w:t>
            </w:r>
          </w:p>
          <w:p w14:paraId="3273042E" w14:textId="5B41BEA7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教师开展教学研究、参与教学改革与建设情况</w:t>
            </w:r>
          </w:p>
          <w:p w14:paraId="01741B2D" w14:textId="5809BA9C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5F1D4696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55C448B2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9FE6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2.4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教师发展与服务</w:t>
            </w:r>
          </w:p>
          <w:p w14:paraId="5F580C00" w14:textId="6BE8EE9D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7CD6C" w14:textId="09F8500A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提升教师教学能力和专业水平的政策措施</w:t>
            </w:r>
          </w:p>
          <w:p w14:paraId="38335ED4" w14:textId="619E9D2B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服务教师职业生涯发展的政策措施</w:t>
            </w:r>
          </w:p>
          <w:p w14:paraId="476404CF" w14:textId="3601C780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专业带头人和中青年骨干教师队伍建设措施与效果</w:t>
            </w:r>
          </w:p>
          <w:p w14:paraId="63195D4D" w14:textId="0987A099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74A4D54D" w14:textId="77777777" w:rsidTr="00180002">
        <w:trPr>
          <w:jc w:val="center"/>
        </w:trPr>
        <w:tc>
          <w:tcPr>
            <w:tcW w:w="12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06E8" w14:textId="0DDF2F72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3.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教学资源</w:t>
            </w:r>
          </w:p>
          <w:p w14:paraId="68C8E598" w14:textId="1189ED9E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36E9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3.1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教学经费</w:t>
            </w:r>
          </w:p>
          <w:p w14:paraId="42BF5F30" w14:textId="49879C72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390A" w14:textId="6320F19C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教学经费投入及保障机制</w:t>
            </w:r>
          </w:p>
          <w:p w14:paraId="290E95B3" w14:textId="4F702A16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学校教学经费年度变化情况</w:t>
            </w:r>
          </w:p>
          <w:p w14:paraId="03635F90" w14:textId="5AEE6FCB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教学经费分配方式、比例及使用效益</w:t>
            </w:r>
          </w:p>
          <w:p w14:paraId="1655CCF7" w14:textId="37E7264E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2F1CC817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7297E64D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44921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3.2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教学设施</w:t>
            </w:r>
          </w:p>
          <w:p w14:paraId="3B2651F4" w14:textId="790AF5CC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BBAF" w14:textId="24B19F1F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教学设施满足教学需要情况</w:t>
            </w:r>
          </w:p>
          <w:p w14:paraId="1D0E3663" w14:textId="1AF69E71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教学、科研设施的开放程度及利用情况</w:t>
            </w:r>
          </w:p>
          <w:p w14:paraId="26DED928" w14:textId="7B869138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教学信息化条件及资源建设</w:t>
            </w:r>
          </w:p>
          <w:p w14:paraId="4E3DACD8" w14:textId="237387AD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7946433E" w14:textId="77777777" w:rsidTr="00180002">
        <w:trPr>
          <w:jc w:val="center"/>
        </w:trPr>
        <w:tc>
          <w:tcPr>
            <w:tcW w:w="12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457C" w14:textId="462BD61F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3.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教学资源</w:t>
            </w:r>
          </w:p>
          <w:p w14:paraId="43C64F55" w14:textId="6E12AF33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83F4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3.3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专业设置与培养方案</w:t>
            </w:r>
          </w:p>
          <w:p w14:paraId="6FE50FA3" w14:textId="467DC51E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B2DC" w14:textId="23F56ACB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专业建设规划与执行</w:t>
            </w:r>
          </w:p>
          <w:p w14:paraId="65C86BBF" w14:textId="61E152A7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专业设置与结构调整</w:t>
            </w:r>
          </w:p>
          <w:p w14:paraId="583DD1D1" w14:textId="7AE63441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优势特色专业与新专业建设</w:t>
            </w:r>
          </w:p>
          <w:p w14:paraId="66BDE2B9" w14:textId="10D0A9FD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培养方案的制定、执行与调整</w:t>
            </w:r>
          </w:p>
          <w:p w14:paraId="1DAFB883" w14:textId="4228F02D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5E851597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178E9092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E0B1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3.4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课程资源</w:t>
            </w:r>
          </w:p>
          <w:p w14:paraId="27E6C995" w14:textId="149830CD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01B5D" w14:textId="56DC67D8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课程建设规划与执行</w:t>
            </w:r>
          </w:p>
          <w:p w14:paraId="44AFA895" w14:textId="75C295CC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课程的数量、结构及优质课程资源建设</w:t>
            </w:r>
          </w:p>
          <w:p w14:paraId="24639F3A" w14:textId="3A9A5339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教材建设与选用</w:t>
            </w:r>
          </w:p>
          <w:p w14:paraId="1CE028AC" w14:textId="6A4F098E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1FA15EE0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329A2A28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8A88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3.5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社会资源</w:t>
            </w:r>
          </w:p>
          <w:p w14:paraId="61114D35" w14:textId="160FB0BB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C1BC" w14:textId="7E50EA1B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合作办学、合作育人的措施与效果</w:t>
            </w:r>
          </w:p>
          <w:p w14:paraId="00F49F1E" w14:textId="7733C790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共建教学资源情况</w:t>
            </w:r>
          </w:p>
          <w:p w14:paraId="763D6C70" w14:textId="610FE11F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社会捐赠情况</w:t>
            </w:r>
          </w:p>
          <w:p w14:paraId="2D75EA11" w14:textId="1B5B1813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0C875933" w14:textId="77777777" w:rsidTr="00180002">
        <w:trPr>
          <w:jc w:val="center"/>
        </w:trPr>
        <w:tc>
          <w:tcPr>
            <w:tcW w:w="12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3319" w14:textId="4B7B5062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4.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培养过程</w:t>
            </w:r>
          </w:p>
          <w:p w14:paraId="642E0DDD" w14:textId="6FAC6A5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2986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4.1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教学改革</w:t>
            </w:r>
          </w:p>
          <w:p w14:paraId="18B0BA58" w14:textId="5F5638D8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D609" w14:textId="5AD6F535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教学改革的总体思路及政策措施</w:t>
            </w:r>
          </w:p>
          <w:p w14:paraId="65D0D54C" w14:textId="578FF017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人才培养模式改革，人才培养体制、机制改革，创新创业能力培养</w:t>
            </w:r>
          </w:p>
          <w:p w14:paraId="15D08C57" w14:textId="6FBD78DC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教学及管理信息化</w:t>
            </w:r>
          </w:p>
          <w:p w14:paraId="520766FF" w14:textId="7029ED3D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教学改革成果及推广应用</w:t>
            </w:r>
          </w:p>
          <w:p w14:paraId="010734F5" w14:textId="54DE9BE8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38CCF3D6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3F75A3DD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E51D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4.2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课堂教学</w:t>
            </w:r>
          </w:p>
          <w:p w14:paraId="334E3A2A" w14:textId="2F6FB442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6F363" w14:textId="10A1AA4B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课程教学大纲的制订与执行</w:t>
            </w:r>
          </w:p>
          <w:p w14:paraId="6BC05B1F" w14:textId="43C52885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教学内容对人才培养目标的体现，科研转化教学</w:t>
            </w:r>
          </w:p>
          <w:p w14:paraId="1183E7AC" w14:textId="70D1B6C2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教师教学方法，学生学习方式</w:t>
            </w:r>
          </w:p>
          <w:p w14:paraId="2AFA8EFF" w14:textId="6AFBCB20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考试考核的方式方法及管理</w:t>
            </w:r>
          </w:p>
          <w:p w14:paraId="694C8D13" w14:textId="460AD51C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4DFF0306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29B31BBB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1C36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4.3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实践教学</w:t>
            </w:r>
          </w:p>
          <w:p w14:paraId="651512AA" w14:textId="5ED1D464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7E7C" w14:textId="6E5F5872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实践教学体系建设</w:t>
            </w:r>
          </w:p>
          <w:p w14:paraId="4C1528F4" w14:textId="212F5648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实验教学与实验室开放情况</w:t>
            </w:r>
          </w:p>
          <w:p w14:paraId="043B32A3" w14:textId="2189329D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实习实训、社会实践、毕业设计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论文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的落实及效果</w:t>
            </w:r>
          </w:p>
          <w:p w14:paraId="6E124571" w14:textId="2D375828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287C1261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4B23EA80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9C5F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4.4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第二课堂</w:t>
            </w:r>
          </w:p>
          <w:p w14:paraId="1C7CCB6B" w14:textId="3F5BD61C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3A44F" w14:textId="495EAF86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第二课堂育人体系建设与保障措施</w:t>
            </w:r>
          </w:p>
          <w:p w14:paraId="1EACBB91" w14:textId="6B2C918C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社团建设与校园文化、科技活动及育人效果</w:t>
            </w:r>
          </w:p>
          <w:p w14:paraId="36149621" w14:textId="3E18DB1C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学生国内外交流学习情况</w:t>
            </w:r>
          </w:p>
          <w:p w14:paraId="4ED04F39" w14:textId="3C474743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5F4D9FD9" w14:textId="77777777" w:rsidTr="00180002">
        <w:trPr>
          <w:jc w:val="center"/>
        </w:trPr>
        <w:tc>
          <w:tcPr>
            <w:tcW w:w="12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CF89" w14:textId="2789AD4F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5.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学生发展</w:t>
            </w:r>
          </w:p>
          <w:p w14:paraId="03208913" w14:textId="20E651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8B432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5.1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招生及生源情况</w:t>
            </w:r>
          </w:p>
          <w:p w14:paraId="2A95DA6D" w14:textId="4DB57409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B623" w14:textId="75E0CECA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学校总体生源状况</w:t>
            </w:r>
          </w:p>
          <w:p w14:paraId="4239129B" w14:textId="1A782048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各专业生源数量及特征</w:t>
            </w:r>
          </w:p>
          <w:p w14:paraId="228B9130" w14:textId="32BD6E2F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63FF7FB0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3FFA37A0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2AE2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5.2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学生指导与服务</w:t>
            </w:r>
          </w:p>
          <w:p w14:paraId="177A0F86" w14:textId="24DA7B39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B87B" w14:textId="4BE10B56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学生指导与服务的内容及效果</w:t>
            </w:r>
          </w:p>
          <w:p w14:paraId="2557EDED" w14:textId="3328A4B9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学生指导与服务的组织与条件保障</w:t>
            </w:r>
          </w:p>
          <w:p w14:paraId="37C3B02C" w14:textId="0794DDC9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学生对指导与服务的评价</w:t>
            </w:r>
          </w:p>
          <w:p w14:paraId="694A572E" w14:textId="48CA5542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69BFDCCB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5BD26611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90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5.3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学风与学习效果</w:t>
            </w:r>
          </w:p>
          <w:p w14:paraId="5EC05CA1" w14:textId="4781ADEC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65A3" w14:textId="10D6A07A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学风建设的措施与效果</w:t>
            </w:r>
          </w:p>
          <w:p w14:paraId="6AEAF532" w14:textId="1F0C87D9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学生学业成绩及综合素质表现</w:t>
            </w:r>
          </w:p>
          <w:p w14:paraId="2DA52D0A" w14:textId="0C3429E8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学生对自我学习与成长的满意度</w:t>
            </w:r>
          </w:p>
          <w:p w14:paraId="34BDA06A" w14:textId="692B6678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359B3007" w14:textId="77777777" w:rsidTr="00180002">
        <w:trPr>
          <w:jc w:val="center"/>
        </w:trPr>
        <w:tc>
          <w:tcPr>
            <w:tcW w:w="1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41A09" w14:textId="5FBAC86D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5.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学生发展</w:t>
            </w:r>
          </w:p>
          <w:p w14:paraId="3B67AD0D" w14:textId="66151699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B444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5.4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就业与发展</w:t>
            </w:r>
          </w:p>
          <w:p w14:paraId="3BDE8AA4" w14:textId="6D6638DF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1402" w14:textId="363145CE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毕业生就业率与职业发展情况</w:t>
            </w:r>
          </w:p>
          <w:p w14:paraId="53E1F68D" w14:textId="5B7DAB9C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毕业生创业情况</w:t>
            </w:r>
          </w:p>
          <w:p w14:paraId="3BF93DBE" w14:textId="0B793520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用人单位对毕业生评价</w:t>
            </w:r>
          </w:p>
          <w:p w14:paraId="63C271F8" w14:textId="57FC1F83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120D8177" w14:textId="77777777" w:rsidTr="00180002">
        <w:trPr>
          <w:jc w:val="center"/>
        </w:trPr>
        <w:tc>
          <w:tcPr>
            <w:tcW w:w="12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A6D08" w14:textId="10FAF59F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6.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质量保障</w:t>
            </w:r>
          </w:p>
          <w:p w14:paraId="6D957C4F" w14:textId="589FB946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F561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6.1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教学质量保障体系</w:t>
            </w:r>
          </w:p>
          <w:p w14:paraId="542D5012" w14:textId="70BE2D24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673C4" w14:textId="131B70EA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质量标准建设</w:t>
            </w:r>
          </w:p>
          <w:p w14:paraId="1F666F95" w14:textId="63D555D7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学校质量保障模式及体系结构</w:t>
            </w:r>
          </w:p>
          <w:p w14:paraId="439AEEB8" w14:textId="79A47095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质量保障体系的组织、制度建设</w:t>
            </w:r>
          </w:p>
          <w:p w14:paraId="0305108F" w14:textId="2B7B61ED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教学质量管理队伍建设</w:t>
            </w:r>
          </w:p>
          <w:p w14:paraId="7458E9C8" w14:textId="61987F65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4B1E1B2B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2B2C7AB0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5DA60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6.2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质量监控</w:t>
            </w:r>
          </w:p>
          <w:p w14:paraId="492758E9" w14:textId="159F5A26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3760" w14:textId="3E415215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自我评估及质量监控的内容与方式</w:t>
            </w:r>
          </w:p>
          <w:p w14:paraId="089C82BA" w14:textId="17C9FBB6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自我评估及质量监控的实施效果</w:t>
            </w:r>
          </w:p>
          <w:p w14:paraId="774FCAA5" w14:textId="5AEF7C6E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5061106C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5D052AF1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7177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6.3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质量信息及利用</w:t>
            </w:r>
          </w:p>
          <w:p w14:paraId="50C9DC83" w14:textId="0B9D9DC4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9BA9" w14:textId="778CEC02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校内教学状态数据库建设情况</w:t>
            </w:r>
          </w:p>
          <w:p w14:paraId="31041DE9" w14:textId="657BD534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质量信息统计、分析、反馈机制</w:t>
            </w:r>
          </w:p>
          <w:p w14:paraId="3A666908" w14:textId="0B91F989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质量信息公开及年度质量报告</w:t>
            </w:r>
          </w:p>
          <w:p w14:paraId="05D8271C" w14:textId="42D3ADDA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094E45EF" w14:textId="77777777" w:rsidTr="00180002">
        <w:trPr>
          <w:jc w:val="center"/>
        </w:trPr>
        <w:tc>
          <w:tcPr>
            <w:tcW w:w="1243" w:type="dxa"/>
            <w:vMerge/>
            <w:vAlign w:val="center"/>
            <w:hideMark/>
          </w:tcPr>
          <w:p w14:paraId="36BFE25E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4E3C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6.4</w:t>
            </w: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质量改进</w:t>
            </w:r>
          </w:p>
          <w:p w14:paraId="31232A31" w14:textId="0D279D9E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B1E2" w14:textId="05B57A10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质量改进的途径与方法</w:t>
            </w:r>
          </w:p>
          <w:p w14:paraId="026272CD" w14:textId="2B1AB912" w:rsidR="00527B56" w:rsidRPr="00527B56" w:rsidRDefault="00180002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180002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527B56"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质量改进的效果与评价</w:t>
            </w:r>
          </w:p>
          <w:p w14:paraId="15DAE34A" w14:textId="7C1540E1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56" w:rsidRPr="00527B56" w14:paraId="3124956C" w14:textId="77777777" w:rsidTr="00180002">
        <w:trPr>
          <w:jc w:val="center"/>
        </w:trPr>
        <w:tc>
          <w:tcPr>
            <w:tcW w:w="1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B2E91" w14:textId="551B2D3A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特色项目</w:t>
            </w:r>
          </w:p>
          <w:p w14:paraId="6E963EC0" w14:textId="205178AF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8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91C2" w14:textId="77777777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7B56">
              <w:rPr>
                <w:rFonts w:ascii="Times New Roman" w:eastAsia="仿宋" w:hAnsi="Times New Roman" w:cs="Times New Roman"/>
                <w:sz w:val="24"/>
                <w:szCs w:val="24"/>
              </w:rPr>
              <w:t>学校自行选择有特色的补充项目</w:t>
            </w:r>
          </w:p>
          <w:p w14:paraId="7E558036" w14:textId="4D5D507B" w:rsidR="00527B56" w:rsidRPr="00527B56" w:rsidRDefault="00527B56" w:rsidP="00527B56">
            <w:pPr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4EB662A5" w14:textId="784C4B66" w:rsidR="00D001D6" w:rsidRPr="00180002" w:rsidRDefault="00D001D6" w:rsidP="00D001D6">
      <w:pPr>
        <w:spacing w:line="579" w:lineRule="exact"/>
        <w:ind w:leftChars="100" w:left="210" w:rightChars="100" w:right="210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sectPr w:rsidR="00D001D6" w:rsidRPr="00180002" w:rsidSect="00476E00">
      <w:footerReference w:type="even" r:id="rId8"/>
      <w:footerReference w:type="default" r:id="rId9"/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2B56" w14:textId="77777777" w:rsidR="000C6CFA" w:rsidRDefault="000C6CFA" w:rsidP="00913C99">
      <w:r>
        <w:separator/>
      </w:r>
    </w:p>
  </w:endnote>
  <w:endnote w:type="continuationSeparator" w:id="0">
    <w:p w14:paraId="0B2405E8" w14:textId="77777777" w:rsidR="000C6CFA" w:rsidRDefault="000C6CFA" w:rsidP="0091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90198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B82DF8C" w14:textId="0CB57BFE" w:rsidR="00476E00" w:rsidRPr="00476E00" w:rsidRDefault="00DC7607" w:rsidP="00DC7607">
        <w:pPr>
          <w:pStyle w:val="a5"/>
          <w:ind w:left="210"/>
          <w:rPr>
            <w:rFonts w:ascii="宋体" w:eastAsia="宋体" w:hAnsi="宋体"/>
            <w:sz w:val="28"/>
            <w:szCs w:val="28"/>
          </w:rPr>
        </w:pPr>
        <w:r w:rsidRPr="00DC7607"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 w:rsidR="00476E00" w:rsidRPr="00476E00">
          <w:rPr>
            <w:rFonts w:ascii="宋体" w:eastAsia="宋体" w:hAnsi="宋体"/>
            <w:sz w:val="28"/>
            <w:szCs w:val="28"/>
          </w:rPr>
          <w:fldChar w:fldCharType="begin"/>
        </w:r>
        <w:r w:rsidR="00476E00" w:rsidRPr="00476E00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476E00" w:rsidRPr="00476E00">
          <w:rPr>
            <w:rFonts w:ascii="宋体" w:eastAsia="宋体" w:hAnsi="宋体"/>
            <w:sz w:val="28"/>
            <w:szCs w:val="28"/>
          </w:rPr>
          <w:fldChar w:fldCharType="separate"/>
        </w:r>
        <w:r w:rsidR="00476E00" w:rsidRPr="00476E00">
          <w:rPr>
            <w:rFonts w:ascii="宋体" w:eastAsia="宋体" w:hAnsi="宋体"/>
            <w:sz w:val="28"/>
            <w:szCs w:val="28"/>
            <w:lang w:val="zh-CN"/>
          </w:rPr>
          <w:t>2</w:t>
        </w:r>
        <w:r w:rsidR="00476E00" w:rsidRPr="00476E00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 w:rsidR="00476E00" w:rsidRPr="00476E00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75648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AE81F50" w14:textId="51C2D645" w:rsidR="00476E00" w:rsidRPr="00476E00" w:rsidRDefault="00DC7607" w:rsidP="00DC7607">
        <w:pPr>
          <w:pStyle w:val="a5"/>
          <w:ind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DC7607"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 w:rsidR="00476E00" w:rsidRPr="00476E00">
          <w:rPr>
            <w:rFonts w:ascii="宋体" w:eastAsia="宋体" w:hAnsi="宋体"/>
            <w:sz w:val="28"/>
            <w:szCs w:val="28"/>
          </w:rPr>
          <w:fldChar w:fldCharType="begin"/>
        </w:r>
        <w:r w:rsidR="00476E00" w:rsidRPr="00476E00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476E00" w:rsidRPr="00476E00">
          <w:rPr>
            <w:rFonts w:ascii="宋体" w:eastAsia="宋体" w:hAnsi="宋体"/>
            <w:sz w:val="28"/>
            <w:szCs w:val="28"/>
          </w:rPr>
          <w:fldChar w:fldCharType="separate"/>
        </w:r>
        <w:r w:rsidR="00476E00" w:rsidRPr="00476E00">
          <w:rPr>
            <w:rFonts w:ascii="宋体" w:eastAsia="宋体" w:hAnsi="宋体"/>
            <w:sz w:val="28"/>
            <w:szCs w:val="28"/>
            <w:lang w:val="zh-CN"/>
          </w:rPr>
          <w:t>2</w:t>
        </w:r>
        <w:r w:rsidR="00476E00" w:rsidRPr="00476E00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 w:rsidR="00476E00" w:rsidRPr="00476E00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B9EE" w14:textId="77777777" w:rsidR="000C6CFA" w:rsidRDefault="000C6CFA" w:rsidP="00913C99">
      <w:r>
        <w:separator/>
      </w:r>
    </w:p>
  </w:footnote>
  <w:footnote w:type="continuationSeparator" w:id="0">
    <w:p w14:paraId="5103BF81" w14:textId="77777777" w:rsidR="000C6CFA" w:rsidRDefault="000C6CFA" w:rsidP="0091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76AB"/>
    <w:multiLevelType w:val="hybridMultilevel"/>
    <w:tmpl w:val="482C1C8A"/>
    <w:lvl w:ilvl="0" w:tplc="2F52D5C4">
      <w:numFmt w:val="bullet"/>
      <w:lvlText w:val="—"/>
      <w:lvlJc w:val="left"/>
      <w:pPr>
        <w:ind w:left="57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B1320C"/>
    <w:multiLevelType w:val="hybridMultilevel"/>
    <w:tmpl w:val="D3C83482"/>
    <w:lvl w:ilvl="0" w:tplc="A596DE1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D6"/>
    <w:rsid w:val="00036EFE"/>
    <w:rsid w:val="00054A88"/>
    <w:rsid w:val="000C6CFA"/>
    <w:rsid w:val="000D74D3"/>
    <w:rsid w:val="00180002"/>
    <w:rsid w:val="00293446"/>
    <w:rsid w:val="002F5E74"/>
    <w:rsid w:val="003F263D"/>
    <w:rsid w:val="00476E00"/>
    <w:rsid w:val="004E6C9E"/>
    <w:rsid w:val="00524A8B"/>
    <w:rsid w:val="00527B56"/>
    <w:rsid w:val="005945D6"/>
    <w:rsid w:val="005A1855"/>
    <w:rsid w:val="00745F86"/>
    <w:rsid w:val="00913C99"/>
    <w:rsid w:val="009D727D"/>
    <w:rsid w:val="00A24192"/>
    <w:rsid w:val="00B91E16"/>
    <w:rsid w:val="00BF4B33"/>
    <w:rsid w:val="00C9202B"/>
    <w:rsid w:val="00D001D6"/>
    <w:rsid w:val="00DC7607"/>
    <w:rsid w:val="00DE67FA"/>
    <w:rsid w:val="00DF262A"/>
    <w:rsid w:val="00DF27F6"/>
    <w:rsid w:val="00E32925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FA54F"/>
  <w15:chartTrackingRefBased/>
  <w15:docId w15:val="{1CB7B466-B4F8-44CA-AEC2-7B52AD4F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C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C99"/>
    <w:rPr>
      <w:sz w:val="18"/>
      <w:szCs w:val="18"/>
    </w:rPr>
  </w:style>
  <w:style w:type="table" w:styleId="a7">
    <w:name w:val="Table Grid"/>
    <w:basedOn w:val="a1"/>
    <w:uiPriority w:val="39"/>
    <w:rsid w:val="00913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27B5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2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114E-E7B8-4E68-91B7-ECA9352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Lulu</dc:creator>
  <cp:keywords/>
  <dc:description/>
  <cp:lastModifiedBy>Lulu Hou</cp:lastModifiedBy>
  <cp:revision>22</cp:revision>
  <dcterms:created xsi:type="dcterms:W3CDTF">2022-04-22T06:35:00Z</dcterms:created>
  <dcterms:modified xsi:type="dcterms:W3CDTF">2023-08-26T13:17:00Z</dcterms:modified>
</cp:coreProperties>
</file>