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C8B" w:rsidRPr="00E44C8B" w:rsidRDefault="00E44C8B" w:rsidP="00E44C8B">
      <w:pPr>
        <w:widowControl/>
        <w:shd w:val="clear" w:color="auto" w:fill="F6F6F6"/>
        <w:spacing w:before="568"/>
        <w:jc w:val="center"/>
        <w:outlineLvl w:val="0"/>
        <w:rPr>
          <w:rFonts w:ascii="宋体" w:eastAsia="宋体" w:hAnsi="宋体" w:cs="宋体"/>
          <w:b/>
          <w:bCs/>
          <w:color w:val="000000"/>
          <w:kern w:val="36"/>
          <w:sz w:val="30"/>
          <w:szCs w:val="30"/>
        </w:rPr>
      </w:pPr>
      <w:r w:rsidRPr="00E44C8B">
        <w:rPr>
          <w:rFonts w:ascii="宋体" w:eastAsia="宋体" w:hAnsi="宋体" w:cs="宋体" w:hint="eastAsia"/>
          <w:b/>
          <w:bCs/>
          <w:color w:val="000000"/>
          <w:kern w:val="36"/>
          <w:sz w:val="30"/>
          <w:szCs w:val="30"/>
        </w:rPr>
        <w:t>用电安全常识</w:t>
      </w:r>
    </w:p>
    <w:p w:rsidR="00E44C8B" w:rsidRPr="00E44C8B" w:rsidRDefault="00E44C8B" w:rsidP="00E44C8B">
      <w:pPr>
        <w:widowControl/>
        <w:jc w:val="left"/>
        <w:rPr>
          <w:rFonts w:ascii="宋体" w:eastAsia="宋体" w:hAnsi="宋体" w:cs="宋体"/>
          <w:kern w:val="0"/>
          <w:sz w:val="24"/>
          <w:szCs w:val="24"/>
        </w:rPr>
      </w:pPr>
      <w:r w:rsidRPr="00E44C8B">
        <w:rPr>
          <w:rFonts w:ascii="宋体" w:eastAsia="宋体" w:hAnsi="宋体" w:cs="宋体" w:hint="eastAsia"/>
          <w:b/>
          <w:bCs/>
          <w:color w:val="000000"/>
          <w:kern w:val="0"/>
          <w:sz w:val="27"/>
          <w:szCs w:val="27"/>
          <w:shd w:val="clear" w:color="auto" w:fill="F6F6F6"/>
        </w:rPr>
        <w:t>电压常识：</w:t>
      </w:r>
    </w:p>
    <w:p w:rsidR="00E44C8B" w:rsidRPr="00E44C8B" w:rsidRDefault="00E44C8B" w:rsidP="00E44C8B">
      <w:pPr>
        <w:widowControl/>
        <w:shd w:val="clear" w:color="auto" w:fill="F6F6F6"/>
        <w:jc w:val="left"/>
        <w:rPr>
          <w:rFonts w:ascii="宋体" w:eastAsia="宋体" w:hAnsi="宋体" w:cs="宋体"/>
          <w:color w:val="000000"/>
          <w:kern w:val="0"/>
          <w:sz w:val="27"/>
          <w:szCs w:val="27"/>
        </w:rPr>
      </w:pPr>
      <w:r w:rsidRPr="00E44C8B">
        <w:rPr>
          <w:rFonts w:ascii="宋体" w:eastAsia="宋体" w:hAnsi="宋体" w:cs="宋体" w:hint="eastAsia"/>
          <w:color w:val="000000"/>
          <w:kern w:val="0"/>
          <w:sz w:val="27"/>
          <w:szCs w:val="27"/>
        </w:rPr>
        <w:t>    安全电压：安全电压是为了防止触电事故而采用由特定电源供电的电压系列。根据环境、人员和使用方式。我国规定安全电压是42V、36V、24V、12V和6V5种。常用安全电压是36V、12V。</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高压：凡对地电压在250V及以上的为高压。在交流系统中。1kV、3kV、6kV、10kV、30kV等都属于高压，在直流系统中500V即为高压。</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低压：凡对地电压在250V及以下的为低压。交流系统总的220V、110V和三相四线制的380／220V及220/110V中性点接地系统均为低压。</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b/>
          <w:bCs/>
          <w:color w:val="000000"/>
          <w:kern w:val="0"/>
          <w:sz w:val="27"/>
          <w:szCs w:val="27"/>
        </w:rPr>
        <w:t>额定功率与峰值功率：</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额定功率是指电源在稳定、持续工作状态下所能承受的最大负载。比如。电源的额定功率是300W，其含义是每天24小时、每年365天持续工作时。所有负载之和不能超过300W。额定功率代表了一台电源真正的负载能力。</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峰值功率是瞬间或者几分钟能承受的负载，不代表真正的负载能力。现在很多厂商不标明额定功率，只标明峰值功率(有的也说“最大功率”)。实际上是在误导用户。</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b/>
          <w:bCs/>
          <w:color w:val="000000"/>
          <w:kern w:val="0"/>
          <w:sz w:val="27"/>
          <w:szCs w:val="27"/>
        </w:rPr>
        <w:t>正确使用插座：</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在电源插座上均标明有额定电压与额定电流，两者乘积即为额定功率。假若在使用多联电源插座时，插了多种电器就应仔细计算下所插电器的总功率是否超过 了多联插座允许的额定功率，如果计算所得的</w:t>
      </w:r>
      <w:r w:rsidRPr="00E44C8B">
        <w:rPr>
          <w:rFonts w:ascii="宋体" w:eastAsia="宋体" w:hAnsi="宋体" w:cs="宋体" w:hint="eastAsia"/>
          <w:color w:val="000000"/>
          <w:kern w:val="0"/>
          <w:sz w:val="27"/>
          <w:szCs w:val="27"/>
        </w:rPr>
        <w:lastRenderedPageBreak/>
        <w:t>总功率比插座的额定功率低。使用就安伞；相反。就不安全。电流通过金属导体时，金属导体会升温，通过导体的电流 愈大，热效应愈高，发热量也愈大。当多种电器的电流通过多联插座时，电流愈大，其热效应愈高。超过额定值后就会烧毁电线和插座。严重时就会引起火灾。所 以。使用电源插座时切记不要“小马拉大车”。</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b/>
          <w:bCs/>
          <w:color w:val="000000"/>
          <w:kern w:val="0"/>
          <w:sz w:val="27"/>
          <w:szCs w:val="27"/>
        </w:rPr>
        <w:t>绝缘与接地：</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绝缘：利用不导电的物质将带电体隔离或包裹起来，防止触电的措施，称为绝缘。绝缘通常分为：气体绝缘、液体绝缘和固体绝缘。</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接地：就是把在正常情况下不带电、在故障情况下可能呈现危险的对地电压的金属部分同大地紧密地连接起来，把设备上的故障电压、限制在安全范围内的安全措施。</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b/>
          <w:bCs/>
          <w:color w:val="000000"/>
          <w:kern w:val="0"/>
          <w:sz w:val="27"/>
          <w:szCs w:val="27"/>
        </w:rPr>
        <w:t>漏电保护器和空气开关：</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漏电保护器用于防止因接触而引起的单相触电事故和因电气设备漏电而造成的电气火灾爆炸事故，有的漏电保护器还具有过载保护、过电压和欠电压保护、缺相保护等功能。</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空气开关：也叫断路器，在电路中起接通、分断和承载额定工作电流等作用并能在线路发生过载、短路、欠压的情况下进行可靠地保护。空气开关的动、静触头及触杆设计成平行状，利用短路产生的电动斥力使动、静触头断开，分断能力强，限流特性可靠。</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b/>
          <w:bCs/>
          <w:color w:val="000000"/>
          <w:kern w:val="0"/>
          <w:sz w:val="27"/>
          <w:szCs w:val="27"/>
        </w:rPr>
        <w:t>合理布线：</w:t>
      </w:r>
    </w:p>
    <w:p w:rsidR="00E44C8B" w:rsidRPr="00E44C8B" w:rsidRDefault="00E44C8B" w:rsidP="00E44C8B">
      <w:pPr>
        <w:widowControl/>
        <w:shd w:val="clear" w:color="auto" w:fill="F6F6F6"/>
        <w:jc w:val="left"/>
        <w:rPr>
          <w:rFonts w:ascii="宋体" w:eastAsia="宋体" w:hAnsi="宋体" w:cs="宋体" w:hint="eastAsia"/>
          <w:color w:val="000000"/>
          <w:kern w:val="0"/>
          <w:sz w:val="27"/>
          <w:szCs w:val="27"/>
        </w:rPr>
      </w:pPr>
      <w:r w:rsidRPr="00E44C8B">
        <w:rPr>
          <w:rFonts w:ascii="宋体" w:eastAsia="宋体" w:hAnsi="宋体" w:cs="宋体" w:hint="eastAsia"/>
          <w:color w:val="000000"/>
          <w:kern w:val="0"/>
          <w:sz w:val="27"/>
          <w:szCs w:val="27"/>
        </w:rPr>
        <w:t>    在实验室建设中。应注意强弱电线系统的合理布线，柑线、零线、保护接地(零)线应选用不同颜色暗线应穿PVC阻燃管。保护接零线要牢</w:t>
      </w:r>
      <w:r w:rsidRPr="00E44C8B">
        <w:rPr>
          <w:rFonts w:ascii="宋体" w:eastAsia="宋体" w:hAnsi="宋体" w:cs="宋体" w:hint="eastAsia"/>
          <w:color w:val="000000"/>
          <w:kern w:val="0"/>
          <w:sz w:val="27"/>
          <w:szCs w:val="27"/>
        </w:rPr>
        <w:lastRenderedPageBreak/>
        <w:t>固地接在保护干 线上，严禁将单相三孔插座的接地线与零线直接连起来，以防使用中零线开路时造成电器外壳带电伤人。电气线路敷设及电器安装必须符合安全规定。不得乱托、乱 接电线，不得使用不合格的保险装置等电器产品，不得超负荷用电。</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4C8B"/>
    <w:rsid w:val="000C04A2"/>
    <w:rsid w:val="00E44C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E44C8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44C8B"/>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707994977">
      <w:bodyDiv w:val="1"/>
      <w:marLeft w:val="0"/>
      <w:marRight w:val="0"/>
      <w:marTop w:val="0"/>
      <w:marBottom w:val="0"/>
      <w:divBdr>
        <w:top w:val="none" w:sz="0" w:space="0" w:color="auto"/>
        <w:left w:val="none" w:sz="0" w:space="0" w:color="auto"/>
        <w:bottom w:val="none" w:sz="0" w:space="0" w:color="auto"/>
        <w:right w:val="none" w:sz="0" w:space="0" w:color="auto"/>
      </w:divBdr>
      <w:divsChild>
        <w:div w:id="1243879751">
          <w:marLeft w:val="0"/>
          <w:marRight w:val="0"/>
          <w:marTop w:val="0"/>
          <w:marBottom w:val="0"/>
          <w:divBdr>
            <w:top w:val="none" w:sz="0" w:space="0" w:color="auto"/>
            <w:left w:val="none" w:sz="0" w:space="0" w:color="auto"/>
            <w:bottom w:val="none" w:sz="0" w:space="0" w:color="auto"/>
            <w:right w:val="none" w:sz="0" w:space="0" w:color="auto"/>
          </w:divBdr>
        </w:div>
        <w:div w:id="1265722984">
          <w:marLeft w:val="0"/>
          <w:marRight w:val="0"/>
          <w:marTop w:val="0"/>
          <w:marBottom w:val="0"/>
          <w:divBdr>
            <w:top w:val="none" w:sz="0" w:space="0" w:color="auto"/>
            <w:left w:val="none" w:sz="0" w:space="0" w:color="auto"/>
            <w:bottom w:val="none" w:sz="0" w:space="0" w:color="auto"/>
            <w:right w:val="none" w:sz="0" w:space="0" w:color="auto"/>
          </w:divBdr>
        </w:div>
        <w:div w:id="1318152601">
          <w:marLeft w:val="0"/>
          <w:marRight w:val="0"/>
          <w:marTop w:val="0"/>
          <w:marBottom w:val="0"/>
          <w:divBdr>
            <w:top w:val="none" w:sz="0" w:space="0" w:color="auto"/>
            <w:left w:val="none" w:sz="0" w:space="0" w:color="auto"/>
            <w:bottom w:val="none" w:sz="0" w:space="0" w:color="auto"/>
            <w:right w:val="none" w:sz="0" w:space="0" w:color="auto"/>
          </w:divBdr>
        </w:div>
        <w:div w:id="1261139610">
          <w:marLeft w:val="0"/>
          <w:marRight w:val="0"/>
          <w:marTop w:val="0"/>
          <w:marBottom w:val="0"/>
          <w:divBdr>
            <w:top w:val="none" w:sz="0" w:space="0" w:color="auto"/>
            <w:left w:val="none" w:sz="0" w:space="0" w:color="auto"/>
            <w:bottom w:val="none" w:sz="0" w:space="0" w:color="auto"/>
            <w:right w:val="none" w:sz="0" w:space="0" w:color="auto"/>
          </w:divBdr>
        </w:div>
        <w:div w:id="495268168">
          <w:marLeft w:val="0"/>
          <w:marRight w:val="0"/>
          <w:marTop w:val="0"/>
          <w:marBottom w:val="0"/>
          <w:divBdr>
            <w:top w:val="none" w:sz="0" w:space="0" w:color="auto"/>
            <w:left w:val="none" w:sz="0" w:space="0" w:color="auto"/>
            <w:bottom w:val="none" w:sz="0" w:space="0" w:color="auto"/>
            <w:right w:val="none" w:sz="0" w:space="0" w:color="auto"/>
          </w:divBdr>
        </w:div>
        <w:div w:id="850073503">
          <w:marLeft w:val="0"/>
          <w:marRight w:val="0"/>
          <w:marTop w:val="0"/>
          <w:marBottom w:val="0"/>
          <w:divBdr>
            <w:top w:val="none" w:sz="0" w:space="0" w:color="auto"/>
            <w:left w:val="none" w:sz="0" w:space="0" w:color="auto"/>
            <w:bottom w:val="none" w:sz="0" w:space="0" w:color="auto"/>
            <w:right w:val="none" w:sz="0" w:space="0" w:color="auto"/>
          </w:divBdr>
        </w:div>
        <w:div w:id="949167848">
          <w:marLeft w:val="0"/>
          <w:marRight w:val="0"/>
          <w:marTop w:val="0"/>
          <w:marBottom w:val="0"/>
          <w:divBdr>
            <w:top w:val="none" w:sz="0" w:space="0" w:color="auto"/>
            <w:left w:val="none" w:sz="0" w:space="0" w:color="auto"/>
            <w:bottom w:val="none" w:sz="0" w:space="0" w:color="auto"/>
            <w:right w:val="none" w:sz="0" w:space="0" w:color="auto"/>
          </w:divBdr>
        </w:div>
        <w:div w:id="796097213">
          <w:marLeft w:val="0"/>
          <w:marRight w:val="0"/>
          <w:marTop w:val="0"/>
          <w:marBottom w:val="0"/>
          <w:divBdr>
            <w:top w:val="none" w:sz="0" w:space="0" w:color="auto"/>
            <w:left w:val="none" w:sz="0" w:space="0" w:color="auto"/>
            <w:bottom w:val="none" w:sz="0" w:space="0" w:color="auto"/>
            <w:right w:val="none" w:sz="0" w:space="0" w:color="auto"/>
          </w:divBdr>
        </w:div>
        <w:div w:id="1543515559">
          <w:marLeft w:val="0"/>
          <w:marRight w:val="0"/>
          <w:marTop w:val="0"/>
          <w:marBottom w:val="0"/>
          <w:divBdr>
            <w:top w:val="none" w:sz="0" w:space="0" w:color="auto"/>
            <w:left w:val="none" w:sz="0" w:space="0" w:color="auto"/>
            <w:bottom w:val="none" w:sz="0" w:space="0" w:color="auto"/>
            <w:right w:val="none" w:sz="0" w:space="0" w:color="auto"/>
          </w:divBdr>
        </w:div>
        <w:div w:id="132528581">
          <w:marLeft w:val="0"/>
          <w:marRight w:val="0"/>
          <w:marTop w:val="0"/>
          <w:marBottom w:val="0"/>
          <w:divBdr>
            <w:top w:val="none" w:sz="0" w:space="0" w:color="auto"/>
            <w:left w:val="none" w:sz="0" w:space="0" w:color="auto"/>
            <w:bottom w:val="none" w:sz="0" w:space="0" w:color="auto"/>
            <w:right w:val="none" w:sz="0" w:space="0" w:color="auto"/>
          </w:divBdr>
        </w:div>
        <w:div w:id="1090541875">
          <w:marLeft w:val="0"/>
          <w:marRight w:val="0"/>
          <w:marTop w:val="0"/>
          <w:marBottom w:val="0"/>
          <w:divBdr>
            <w:top w:val="none" w:sz="0" w:space="0" w:color="auto"/>
            <w:left w:val="none" w:sz="0" w:space="0" w:color="auto"/>
            <w:bottom w:val="none" w:sz="0" w:space="0" w:color="auto"/>
            <w:right w:val="none" w:sz="0" w:space="0" w:color="auto"/>
          </w:divBdr>
        </w:div>
        <w:div w:id="538129054">
          <w:marLeft w:val="0"/>
          <w:marRight w:val="0"/>
          <w:marTop w:val="0"/>
          <w:marBottom w:val="0"/>
          <w:divBdr>
            <w:top w:val="none" w:sz="0" w:space="0" w:color="auto"/>
            <w:left w:val="none" w:sz="0" w:space="0" w:color="auto"/>
            <w:bottom w:val="none" w:sz="0" w:space="0" w:color="auto"/>
            <w:right w:val="none" w:sz="0" w:space="0" w:color="auto"/>
          </w:divBdr>
        </w:div>
        <w:div w:id="1761829401">
          <w:marLeft w:val="0"/>
          <w:marRight w:val="0"/>
          <w:marTop w:val="0"/>
          <w:marBottom w:val="0"/>
          <w:divBdr>
            <w:top w:val="none" w:sz="0" w:space="0" w:color="auto"/>
            <w:left w:val="none" w:sz="0" w:space="0" w:color="auto"/>
            <w:bottom w:val="none" w:sz="0" w:space="0" w:color="auto"/>
            <w:right w:val="none" w:sz="0" w:space="0" w:color="auto"/>
          </w:divBdr>
        </w:div>
        <w:div w:id="45378531">
          <w:marLeft w:val="0"/>
          <w:marRight w:val="0"/>
          <w:marTop w:val="0"/>
          <w:marBottom w:val="0"/>
          <w:divBdr>
            <w:top w:val="none" w:sz="0" w:space="0" w:color="auto"/>
            <w:left w:val="none" w:sz="0" w:space="0" w:color="auto"/>
            <w:bottom w:val="none" w:sz="0" w:space="0" w:color="auto"/>
            <w:right w:val="none" w:sz="0" w:space="0" w:color="auto"/>
          </w:divBdr>
        </w:div>
        <w:div w:id="2090694349">
          <w:marLeft w:val="0"/>
          <w:marRight w:val="0"/>
          <w:marTop w:val="0"/>
          <w:marBottom w:val="0"/>
          <w:divBdr>
            <w:top w:val="none" w:sz="0" w:space="0" w:color="auto"/>
            <w:left w:val="none" w:sz="0" w:space="0" w:color="auto"/>
            <w:bottom w:val="none" w:sz="0" w:space="0" w:color="auto"/>
            <w:right w:val="none" w:sz="0" w:space="0" w:color="auto"/>
          </w:divBdr>
        </w:div>
        <w:div w:id="1066562886">
          <w:marLeft w:val="0"/>
          <w:marRight w:val="0"/>
          <w:marTop w:val="0"/>
          <w:marBottom w:val="0"/>
          <w:divBdr>
            <w:top w:val="none" w:sz="0" w:space="0" w:color="auto"/>
            <w:left w:val="none" w:sz="0" w:space="0" w:color="auto"/>
            <w:bottom w:val="none" w:sz="0" w:space="0" w:color="auto"/>
            <w:right w:val="none" w:sz="0" w:space="0" w:color="auto"/>
          </w:divBdr>
        </w:div>
      </w:divsChild>
    </w:div>
    <w:div w:id="213582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2018-09-07T01:30:00Z</dcterms:created>
  <dcterms:modified xsi:type="dcterms:W3CDTF">2018-09-07T01:30:00Z</dcterms:modified>
</cp:coreProperties>
</file>